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1D" w:rsidRDefault="00DC5C1D" w:rsidP="007A564E">
      <w:pPr>
        <w:jc w:val="both"/>
        <w:rPr>
          <w:noProof/>
          <w:lang w:eastAsia="pt-PT"/>
        </w:rPr>
      </w:pPr>
      <w:r>
        <w:rPr>
          <w:noProof/>
          <w:lang w:eastAsia="pt-PT"/>
        </w:rPr>
        <w:t>Em baixo estão as Informações a colocar na call. A mesma está acessível no ficheiro PDF editável fornecido na página da direção de projetos (</w:t>
      </w:r>
      <w:hyperlink r:id="rId4" w:history="1">
        <w:r w:rsidRPr="00DC5C1D">
          <w:rPr>
            <w:rStyle w:val="Hiperligao"/>
            <w:noProof/>
            <w:lang w:eastAsia="pt-PT"/>
          </w:rPr>
          <w:t>link</w:t>
        </w:r>
      </w:hyperlink>
      <w:r>
        <w:rPr>
          <w:noProof/>
          <w:lang w:eastAsia="pt-PT"/>
        </w:rPr>
        <w:t xml:space="preserve">), podendo ser acedido integralmente com o </w:t>
      </w:r>
      <w:hyperlink r:id="rId5" w:history="1">
        <w:r w:rsidRPr="00DC5C1D">
          <w:rPr>
            <w:rStyle w:val="Hiperligao"/>
            <w:noProof/>
            <w:lang w:eastAsia="pt-PT"/>
          </w:rPr>
          <w:t>adobe acrobat reader</w:t>
        </w:r>
      </w:hyperlink>
      <w:r>
        <w:rPr>
          <w:noProof/>
          <w:lang w:eastAsia="pt-PT"/>
        </w:rPr>
        <w:t xml:space="preserve">. Com o </w:t>
      </w:r>
      <w:r w:rsidRPr="00DC5C1D">
        <w:rPr>
          <w:noProof/>
          <w:lang w:eastAsia="pt-PT"/>
        </w:rPr>
        <w:t>adobe acrobat reader</w:t>
      </w:r>
      <w:r>
        <w:rPr>
          <w:noProof/>
          <w:lang w:eastAsia="pt-PT"/>
        </w:rPr>
        <w:t xml:space="preserve"> pode ainda editar o ficheiro referido e preencher as informações da candidatura que vai colocar posteriormente no formulário online.</w:t>
      </w:r>
    </w:p>
    <w:p w:rsidR="00DC5C1D" w:rsidRDefault="00DC5C1D" w:rsidP="007A564E">
      <w:pPr>
        <w:jc w:val="both"/>
        <w:rPr>
          <w:noProof/>
          <w:lang w:eastAsia="pt-PT"/>
        </w:rPr>
      </w:pPr>
    </w:p>
    <w:p w:rsidR="00DC5C1D" w:rsidRPr="00DC5C1D" w:rsidRDefault="00DC5C1D" w:rsidP="007A564E">
      <w:pPr>
        <w:jc w:val="both"/>
        <w:rPr>
          <w:noProof/>
          <w:lang w:val="en-US" w:eastAsia="pt-PT"/>
        </w:rPr>
      </w:pPr>
      <w:r w:rsidRPr="00DC5C1D">
        <w:rPr>
          <w:noProof/>
          <w:lang w:val="en-US" w:eastAsia="pt-PT"/>
        </w:rPr>
        <w:t>--------------------------------------------------------------------------------------------------------------------------------------</w:t>
      </w:r>
    </w:p>
    <w:p w:rsidR="004E39C7" w:rsidRDefault="007A564E" w:rsidP="007A564E">
      <w:pPr>
        <w:jc w:val="both"/>
        <w:rPr>
          <w:lang w:val="en-US"/>
        </w:rPr>
      </w:pPr>
      <w:r>
        <w:rPr>
          <w:noProof/>
          <w:lang w:eastAsia="pt-PT"/>
        </w:rPr>
        <w:drawing>
          <wp:inline distT="0" distB="0" distL="0" distR="0" wp14:anchorId="3E993A2D" wp14:editId="447C3565">
            <wp:extent cx="5731510" cy="38354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564E">
        <w:rPr>
          <w:lang w:val="en-US"/>
        </w:rPr>
        <w:t xml:space="preserve">The Association of </w:t>
      </w:r>
      <w:proofErr w:type="spellStart"/>
      <w:r w:rsidRPr="007A564E">
        <w:rPr>
          <w:lang w:val="en-US"/>
        </w:rPr>
        <w:t>Instituto</w:t>
      </w:r>
      <w:proofErr w:type="spellEnd"/>
      <w:r w:rsidRPr="007A564E">
        <w:rPr>
          <w:lang w:val="en-US"/>
        </w:rPr>
        <w:t xml:space="preserve"> Superior </w:t>
      </w:r>
      <w:proofErr w:type="spellStart"/>
      <w:r w:rsidRPr="007A564E">
        <w:rPr>
          <w:lang w:val="en-US"/>
        </w:rPr>
        <w:t>Técnico</w:t>
      </w:r>
      <w:proofErr w:type="spellEnd"/>
      <w:r w:rsidRPr="007A564E">
        <w:rPr>
          <w:lang w:val="en-US"/>
        </w:rPr>
        <w:t xml:space="preserve"> for Research and Development (IST-ID) is a private not-for-profit institution, which primarily aims at carrying out Science and Technology activities, fostering knowledge transfer and promoting the involvement of national and foreign researchers, internally and externally, in RD&amp;I projects in their areas of expertise. The IST-ID carries out RD&amp;I activities in major areas, which are associated with challenges with a strong impact on society. These are strongly interdisciplinary areas in nature and cut across different fields of engineering, science and technology and architecture. The RD&amp;I activities comprise not only fundamental aspects but also projects with a strong applied component and the areas of intervention are Basic Sciences, Information and Communication Technologies, Energy, Environment and Mobility, Applied Life Sciences, Materials, Nanotechnologies and </w:t>
      </w:r>
      <w:proofErr w:type="spellStart"/>
      <w:r w:rsidRPr="007A564E">
        <w:rPr>
          <w:lang w:val="en-US"/>
        </w:rPr>
        <w:t>Nanosciences</w:t>
      </w:r>
      <w:proofErr w:type="spellEnd"/>
      <w:r w:rsidRPr="007A564E">
        <w:rPr>
          <w:lang w:val="en-US"/>
        </w:rPr>
        <w:t>, Technology Management and Entrepreneurship, Manufacturing Technologies Engineering, Nuclear Reactors and Accelerators, Nuclear Safety and Radiological Protection.</w:t>
      </w:r>
    </w:p>
    <w:p w:rsidR="007A564E" w:rsidRDefault="007A564E" w:rsidP="007A564E">
      <w:pPr>
        <w:jc w:val="both"/>
        <w:rPr>
          <w:lang w:val="en-US"/>
        </w:rPr>
      </w:pPr>
    </w:p>
    <w:p w:rsidR="007A564E" w:rsidRDefault="007A564E" w:rsidP="007A564E">
      <w:pPr>
        <w:jc w:val="both"/>
        <w:rPr>
          <w:lang w:val="en-US"/>
        </w:rPr>
      </w:pPr>
    </w:p>
    <w:p w:rsidR="007A564E" w:rsidRDefault="007A564E" w:rsidP="007A564E">
      <w:pPr>
        <w:jc w:val="both"/>
        <w:rPr>
          <w:lang w:val="en-US"/>
        </w:rPr>
      </w:pPr>
    </w:p>
    <w:p w:rsidR="007A564E" w:rsidRDefault="007A564E" w:rsidP="007A564E">
      <w:pPr>
        <w:jc w:val="both"/>
        <w:rPr>
          <w:lang w:val="en-US"/>
        </w:rPr>
      </w:pPr>
      <w:r>
        <w:rPr>
          <w:noProof/>
          <w:lang w:eastAsia="pt-PT"/>
        </w:rPr>
        <w:drawing>
          <wp:inline distT="0" distB="0" distL="0" distR="0" wp14:anchorId="5AD52679" wp14:editId="45B00365">
            <wp:extent cx="5731510" cy="527685"/>
            <wp:effectExtent l="0" t="0" r="254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64E" w:rsidRDefault="007A564E" w:rsidP="007A564E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5A5A5A"/>
          <w:sz w:val="15"/>
          <w:szCs w:val="15"/>
        </w:rPr>
      </w:pPr>
      <w:r>
        <w:rPr>
          <w:rFonts w:ascii="TTEDt00" w:hAnsi="TTEDt00" w:cs="TTEDt00"/>
          <w:color w:val="5A5A5A"/>
          <w:sz w:val="15"/>
          <w:szCs w:val="15"/>
        </w:rPr>
        <w:t xml:space="preserve">593 - Outras Variações no Capital Próprio </w:t>
      </w:r>
      <w:r>
        <w:rPr>
          <w:rFonts w:ascii="TTEDt00" w:hAnsi="TTEDt00" w:cs="TTEDt00"/>
          <w:color w:val="5A5A5A"/>
          <w:sz w:val="15"/>
          <w:szCs w:val="15"/>
        </w:rPr>
        <w:t>– Subsídios</w:t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 w:rsidRPr="007A564E">
        <w:rPr>
          <w:rFonts w:ascii="TTEDt00" w:hAnsi="TTEDt00" w:cs="TTEDt00"/>
          <w:color w:val="5A5A5A"/>
          <w:sz w:val="15"/>
          <w:szCs w:val="15"/>
        </w:rPr>
        <w:t>2.592.087,85</w:t>
      </w:r>
    </w:p>
    <w:p w:rsidR="007A564E" w:rsidRDefault="007A564E" w:rsidP="007A564E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5A5A5A"/>
          <w:sz w:val="15"/>
          <w:szCs w:val="15"/>
        </w:rPr>
      </w:pPr>
      <w:r>
        <w:rPr>
          <w:rFonts w:ascii="TTEDt00" w:hAnsi="TTEDt00" w:cs="TTEDt00"/>
          <w:color w:val="5A5A5A"/>
          <w:sz w:val="15"/>
          <w:szCs w:val="15"/>
        </w:rPr>
        <w:t>75 - Subsídios à Exploração (públicos)</w:t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 w:rsidRPr="007A564E">
        <w:rPr>
          <w:rFonts w:ascii="TTEDt00" w:hAnsi="TTEDt00" w:cs="TTEDt00"/>
          <w:color w:val="5A5A5A"/>
          <w:sz w:val="15"/>
          <w:szCs w:val="15"/>
        </w:rPr>
        <w:t>9.988.758,22</w:t>
      </w:r>
    </w:p>
    <w:p w:rsidR="007A564E" w:rsidRDefault="007A564E" w:rsidP="007A564E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5A5A5A"/>
          <w:sz w:val="15"/>
          <w:szCs w:val="15"/>
        </w:rPr>
      </w:pPr>
      <w:r>
        <w:rPr>
          <w:rFonts w:ascii="TTEDt00" w:hAnsi="TTEDt00" w:cs="TTEDt00"/>
          <w:color w:val="5A5A5A"/>
          <w:sz w:val="15"/>
          <w:szCs w:val="15"/>
        </w:rPr>
        <w:t>7883 - Outros Rendimentos e Ganhos - Imputação de Subsídios para Investimentos</w:t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 w:rsidRPr="007A564E">
        <w:rPr>
          <w:rFonts w:ascii="TTEDt00" w:hAnsi="TTEDt00" w:cs="TTEDt00"/>
          <w:color w:val="5A5A5A"/>
          <w:sz w:val="15"/>
          <w:szCs w:val="15"/>
        </w:rPr>
        <w:t>1.056.988,46</w:t>
      </w:r>
    </w:p>
    <w:p w:rsidR="007A564E" w:rsidRDefault="007A564E" w:rsidP="007A564E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5A5A5A"/>
          <w:sz w:val="15"/>
          <w:szCs w:val="15"/>
        </w:rPr>
      </w:pPr>
      <w:r>
        <w:rPr>
          <w:rFonts w:ascii="TTEDt00" w:hAnsi="TTEDt00" w:cs="TTEDt00"/>
          <w:color w:val="5A5A5A"/>
          <w:sz w:val="15"/>
          <w:szCs w:val="15"/>
        </w:rPr>
        <w:t xml:space="preserve">Classe 7 </w:t>
      </w:r>
      <w:r>
        <w:rPr>
          <w:rFonts w:ascii="TTEDt00" w:hAnsi="TTEDt00" w:cs="TTEDt00"/>
          <w:color w:val="5A5A5A"/>
          <w:sz w:val="15"/>
          <w:szCs w:val="15"/>
        </w:rPr>
        <w:t>–</w:t>
      </w:r>
      <w:r>
        <w:rPr>
          <w:rFonts w:ascii="TTEDt00" w:hAnsi="TTEDt00" w:cs="TTEDt00"/>
          <w:color w:val="5A5A5A"/>
          <w:sz w:val="15"/>
          <w:szCs w:val="15"/>
        </w:rPr>
        <w:t xml:space="preserve"> Rendimentos</w:t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 w:rsidRPr="007A564E">
        <w:rPr>
          <w:rFonts w:ascii="TTEDt00" w:hAnsi="TTEDt00" w:cs="TTEDt00"/>
          <w:color w:val="5A5A5A"/>
          <w:sz w:val="15"/>
          <w:szCs w:val="15"/>
        </w:rPr>
        <w:t>11.368.746,36</w:t>
      </w:r>
    </w:p>
    <w:p w:rsidR="007A564E" w:rsidRDefault="007A564E" w:rsidP="007A564E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5A5A5A"/>
          <w:sz w:val="15"/>
          <w:szCs w:val="15"/>
        </w:rPr>
      </w:pPr>
      <w:r>
        <w:rPr>
          <w:rFonts w:ascii="TTEDt00" w:hAnsi="TTEDt00" w:cs="TTEDt00"/>
          <w:color w:val="5A5A5A"/>
          <w:sz w:val="15"/>
          <w:szCs w:val="15"/>
        </w:rPr>
        <w:t>Somatório (Total classe 7 + 593)</w:t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 w:rsidRPr="007A564E">
        <w:rPr>
          <w:rFonts w:ascii="TTEDt00" w:hAnsi="TTEDt00" w:cs="TTEDt00"/>
          <w:color w:val="5A5A5A"/>
          <w:sz w:val="15"/>
          <w:szCs w:val="15"/>
        </w:rPr>
        <w:t>13.960.834,21</w:t>
      </w:r>
    </w:p>
    <w:p w:rsidR="007A564E" w:rsidRDefault="007A564E" w:rsidP="007A564E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5A5A5A"/>
          <w:sz w:val="15"/>
          <w:szCs w:val="15"/>
        </w:rPr>
      </w:pPr>
      <w:r>
        <w:rPr>
          <w:rFonts w:ascii="TTEDt00" w:hAnsi="TTEDt00" w:cs="TTEDt00"/>
          <w:color w:val="5A5A5A"/>
          <w:sz w:val="15"/>
          <w:szCs w:val="15"/>
        </w:rPr>
        <w:t>Somatório (593+75+7883) / Somatório (Total classe 7 + 593)</w:t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>
        <w:rPr>
          <w:rFonts w:ascii="TTEDt00" w:hAnsi="TTEDt00" w:cs="TTEDt00"/>
          <w:color w:val="5A5A5A"/>
          <w:sz w:val="15"/>
          <w:szCs w:val="15"/>
        </w:rPr>
        <w:tab/>
      </w:r>
      <w:r w:rsidRPr="007A564E">
        <w:rPr>
          <w:rFonts w:ascii="TTEDt00" w:hAnsi="TTEDt00" w:cs="TTEDt00"/>
          <w:color w:val="5A5A5A"/>
          <w:sz w:val="15"/>
          <w:szCs w:val="15"/>
        </w:rPr>
        <w:t>97,69</w:t>
      </w:r>
    </w:p>
    <w:p w:rsidR="007A564E" w:rsidRDefault="007A564E" w:rsidP="007A564E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FFFFFF"/>
          <w:sz w:val="16"/>
          <w:szCs w:val="16"/>
        </w:rPr>
      </w:pPr>
      <w:r>
        <w:rPr>
          <w:rFonts w:ascii="TTEEt00" w:hAnsi="TTEEt00" w:cs="TTEEt00"/>
          <w:color w:val="FFFFFF"/>
          <w:sz w:val="16"/>
          <w:szCs w:val="16"/>
        </w:rPr>
        <w:t>Contratos Públicos</w:t>
      </w:r>
    </w:p>
    <w:p w:rsidR="007A564E" w:rsidRDefault="007A564E" w:rsidP="007A564E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FFFFFF"/>
          <w:sz w:val="16"/>
          <w:szCs w:val="16"/>
        </w:rPr>
      </w:pPr>
    </w:p>
    <w:p w:rsidR="007A564E" w:rsidRDefault="007A564E" w:rsidP="007A564E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FFFFFF"/>
          <w:sz w:val="16"/>
          <w:szCs w:val="16"/>
        </w:rPr>
      </w:pPr>
    </w:p>
    <w:p w:rsidR="007A564E" w:rsidRDefault="007A564E" w:rsidP="007A564E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FFFFFF"/>
          <w:sz w:val="16"/>
          <w:szCs w:val="16"/>
        </w:rPr>
      </w:pPr>
    </w:p>
    <w:p w:rsidR="007A564E" w:rsidRDefault="007A564E" w:rsidP="007A564E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FFFFFF"/>
          <w:sz w:val="16"/>
          <w:szCs w:val="16"/>
        </w:rPr>
      </w:pPr>
      <w:bookmarkStart w:id="0" w:name="_GoBack"/>
      <w:bookmarkEnd w:id="0"/>
    </w:p>
    <w:p w:rsidR="007A564E" w:rsidRDefault="007A564E" w:rsidP="007A564E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FFFFFF"/>
          <w:sz w:val="16"/>
          <w:szCs w:val="16"/>
        </w:rPr>
      </w:pPr>
    </w:p>
    <w:p w:rsidR="007A564E" w:rsidRDefault="007A564E" w:rsidP="007A564E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FFFFFF"/>
          <w:sz w:val="16"/>
          <w:szCs w:val="16"/>
        </w:rPr>
      </w:pPr>
    </w:p>
    <w:p w:rsidR="007A564E" w:rsidRPr="007A564E" w:rsidRDefault="007A564E" w:rsidP="007A564E">
      <w:pPr>
        <w:jc w:val="both"/>
        <w:rPr>
          <w:lang w:val="en-US"/>
        </w:rPr>
      </w:pPr>
      <w:r>
        <w:rPr>
          <w:noProof/>
          <w:lang w:eastAsia="pt-PT"/>
        </w:rPr>
        <w:drawing>
          <wp:inline distT="0" distB="0" distL="0" distR="0" wp14:anchorId="34A332C8" wp14:editId="018080DE">
            <wp:extent cx="5731510" cy="205740"/>
            <wp:effectExtent l="0" t="0" r="254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64E" w:rsidRPr="007A564E" w:rsidRDefault="007A564E" w:rsidP="007A564E">
      <w:pPr>
        <w:jc w:val="both"/>
        <w:rPr>
          <w:lang w:val="en-US"/>
        </w:rPr>
      </w:pPr>
      <w:proofErr w:type="gramStart"/>
      <w:r w:rsidRPr="007A564E">
        <w:rPr>
          <w:lang w:val="en-US"/>
        </w:rPr>
        <w:t xml:space="preserve">A Comissão Europeia, através da sua comunicação 2014 / C 198/01 relativa ao enquadramento dos auxílios estatais à investigação, ao desenvolvimento e à inovação, atribui um carácter não económico às atividades primárias de organismos de investigação e as infraestruturas de investigação, em particular, a educação pública no âmbito do sistema nacional de ensino, as atividades independentes de I &amp; D e a ampla divulgação dos resultados da investigação e das atividades de transferência de conhecimentos, quando efetuadas pelo organismo ou infraestrutura de investigação (incluindo os respetivos departamentos) ou em conjunto com os mesmos, e, quando todos os lucros destas </w:t>
      </w:r>
      <w:r w:rsidRPr="007A564E">
        <w:rPr>
          <w:lang w:val="en-US"/>
        </w:rPr>
        <w:lastRenderedPageBreak/>
        <w:t>atividades forem reinvestidos nas atividades primárias das infraestruturas de investigação.</w:t>
      </w:r>
      <w:proofErr w:type="gramEnd"/>
      <w:r w:rsidRPr="007A564E">
        <w:rPr>
          <w:lang w:val="en-US"/>
        </w:rPr>
        <w:t xml:space="preserve"> As principais atividades do IST-ID abrangem os principais pilares da atividade das modernas instituições de investigação: (i) fornecimento de formação avançada; (</w:t>
      </w:r>
      <w:proofErr w:type="spellStart"/>
      <w:r w:rsidRPr="007A564E">
        <w:rPr>
          <w:lang w:val="en-US"/>
        </w:rPr>
        <w:t>Ii</w:t>
      </w:r>
      <w:proofErr w:type="spellEnd"/>
      <w:r w:rsidRPr="007A564E">
        <w:rPr>
          <w:lang w:val="en-US"/>
        </w:rPr>
        <w:t xml:space="preserve">) desenvolvimento de atividades de pesquisa, inovação e desenvolvimento tecnológico, como instrumento chave para sustentar e promover a qualidade de seus programas educacionais, incluindo investigação para a solução de desafios </w:t>
      </w:r>
      <w:proofErr w:type="spellStart"/>
      <w:r w:rsidRPr="007A564E">
        <w:rPr>
          <w:lang w:val="en-US"/>
        </w:rPr>
        <w:t>societais</w:t>
      </w:r>
      <w:proofErr w:type="spellEnd"/>
      <w:r w:rsidRPr="007A564E">
        <w:rPr>
          <w:lang w:val="en-US"/>
        </w:rPr>
        <w:t>; E (</w:t>
      </w:r>
      <w:proofErr w:type="spellStart"/>
      <w:r w:rsidRPr="007A564E">
        <w:rPr>
          <w:lang w:val="en-US"/>
        </w:rPr>
        <w:t>iii</w:t>
      </w:r>
      <w:proofErr w:type="spellEnd"/>
      <w:r w:rsidRPr="007A564E">
        <w:rPr>
          <w:lang w:val="en-US"/>
        </w:rPr>
        <w:t>) transferência de conhecimentos científicos e tecnológicos. As contribuições do IST-ID neste projeto serão desenvolvidas integralmente no âmbito das atividades primárias destas instituições, que têm um carácter não económico e, por conseguinte, não se enquadram no regime de auxílios estatais. Assim, o IST-ID pode garantir que o financiamento concedido não se enquadra no regime de auxílios estatais estabelecido no quadro dos auxílios estatais à investigação, desenvolvimento e inovação (2014 / C198 / 01) relativo ao financiamento público de atividades não económicas.</w:t>
      </w:r>
    </w:p>
    <w:p w:rsidR="007A564E" w:rsidRPr="007A564E" w:rsidRDefault="007A564E" w:rsidP="007A564E">
      <w:pPr>
        <w:jc w:val="both"/>
        <w:rPr>
          <w:lang w:val="en-US"/>
        </w:rPr>
      </w:pPr>
      <w:r w:rsidRPr="007A564E">
        <w:rPr>
          <w:lang w:val="en-US"/>
        </w:rPr>
        <w:t>Formulário Portugal 2020 Página 4/3</w:t>
      </w:r>
    </w:p>
    <w:p w:rsidR="007A564E" w:rsidRPr="007A564E" w:rsidRDefault="007A564E" w:rsidP="007A564E">
      <w:pPr>
        <w:jc w:val="both"/>
        <w:rPr>
          <w:lang w:val="en-US"/>
        </w:rPr>
      </w:pPr>
    </w:p>
    <w:sectPr w:rsidR="007A564E" w:rsidRPr="007A5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4E"/>
    <w:rsid w:val="00576D3E"/>
    <w:rsid w:val="007A564E"/>
    <w:rsid w:val="00DC5C1D"/>
    <w:rsid w:val="00F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3A7F"/>
  <w15:chartTrackingRefBased/>
  <w15:docId w15:val="{100AD3E3-4DF8-41BC-801A-CFBC029F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C5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et.adobe.com/br/reade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p.tecnico.ulisboa.pt/files/sites/26/candidatura-saict_dados-administrativos_ist_id_iproponente_2017_04_28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625</Words>
  <Characters>3379</Characters>
  <Application>Microsoft Office Word</Application>
  <DocSecurity>0</DocSecurity>
  <Lines>28</Lines>
  <Paragraphs>7</Paragraphs>
  <ScaleCrop>false</ScaleCrop>
  <Company>IST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Amaro</dc:creator>
  <cp:keywords/>
  <dc:description/>
  <cp:lastModifiedBy>Eduardo Amaro</cp:lastModifiedBy>
  <cp:revision>2</cp:revision>
  <dcterms:created xsi:type="dcterms:W3CDTF">2017-05-19T14:01:00Z</dcterms:created>
  <dcterms:modified xsi:type="dcterms:W3CDTF">2017-05-19T14:17:00Z</dcterms:modified>
</cp:coreProperties>
</file>